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Pr="003A1E9C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419"/>
              </w:rPr>
            </w:pPr>
            <w:r w:rsidRPr="003A1E9C">
              <w:rPr>
                <w:rFonts w:cstheme="minorHAnsi"/>
                <w:sz w:val="20"/>
                <w:szCs w:val="20"/>
                <w:lang w:val="es-419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 xml:space="preserve">ZSRS: pod Moskwą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politykę okupacyjną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zrzucenia bomb atomowych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1945), zdobycia Berlina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Gamala 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14:paraId="0A809010" w14:textId="7EC53761" w:rsidR="005F4CE2" w:rsidRPr="003A1E9C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419"/>
              </w:rPr>
            </w:pPr>
            <w:r w:rsidRPr="003A1E9C">
              <w:rPr>
                <w:rFonts w:cstheme="minorHAnsi"/>
                <w:sz w:val="20"/>
                <w:szCs w:val="20"/>
                <w:lang w:val="es-419"/>
              </w:rPr>
              <w:t xml:space="preserve">– identyfikuje postacie: Konrada Adenauera, Alcida </w:t>
            </w:r>
            <w:r w:rsidR="006E1CAF" w:rsidRPr="003A1E9C">
              <w:rPr>
                <w:rFonts w:cstheme="minorHAnsi"/>
                <w:sz w:val="20"/>
                <w:szCs w:val="20"/>
                <w:lang w:val="es-419"/>
              </w:rPr>
              <w:t>d</w:t>
            </w:r>
            <w:r w:rsidRPr="003A1E9C">
              <w:rPr>
                <w:rFonts w:cstheme="minorHAnsi"/>
                <w:sz w:val="20"/>
                <w:szCs w:val="20"/>
                <w:lang w:val="es-419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2BC8E" w14:textId="77777777" w:rsidR="00AA62B2" w:rsidRDefault="00AA62B2" w:rsidP="00254330">
      <w:pPr>
        <w:spacing w:after="0" w:line="240" w:lineRule="auto"/>
      </w:pPr>
      <w:r>
        <w:separator/>
      </w:r>
    </w:p>
  </w:endnote>
  <w:endnote w:type="continuationSeparator" w:id="0">
    <w:p w14:paraId="1EF83BD3" w14:textId="77777777" w:rsidR="00AA62B2" w:rsidRDefault="00AA62B2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9C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35A23" w14:textId="77777777" w:rsidR="00AA62B2" w:rsidRDefault="00AA62B2" w:rsidP="00254330">
      <w:pPr>
        <w:spacing w:after="0" w:line="240" w:lineRule="auto"/>
      </w:pPr>
      <w:r>
        <w:separator/>
      </w:r>
    </w:p>
  </w:footnote>
  <w:footnote w:type="continuationSeparator" w:id="0">
    <w:p w14:paraId="5638F989" w14:textId="77777777" w:rsidR="00AA62B2" w:rsidRDefault="00AA62B2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1E9C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A62B2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E4"/>
  </w:style>
  <w:style w:type="paragraph" w:styleId="Footer">
    <w:name w:val="footer"/>
    <w:basedOn w:val="Normal"/>
    <w:link w:val="Foot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E4"/>
  </w:style>
  <w:style w:type="paragraph" w:styleId="NoSpacing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"/>
    <w:next w:val="Normal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46B91"/>
    <w:pPr>
      <w:ind w:left="720"/>
      <w:contextualSpacing/>
    </w:pPr>
  </w:style>
  <w:style w:type="paragraph" w:styleId="BodyText">
    <w:name w:val="Body Text"/>
    <w:basedOn w:val="Normal"/>
    <w:link w:val="BodyTextChar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4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E4"/>
  </w:style>
  <w:style w:type="paragraph" w:styleId="Footer">
    <w:name w:val="footer"/>
    <w:basedOn w:val="Normal"/>
    <w:link w:val="Foot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E4"/>
  </w:style>
  <w:style w:type="paragraph" w:styleId="NoSpacing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"/>
    <w:next w:val="Normal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46B91"/>
    <w:pPr>
      <w:ind w:left="720"/>
      <w:contextualSpacing/>
    </w:pPr>
  </w:style>
  <w:style w:type="paragraph" w:styleId="BodyText">
    <w:name w:val="Body Text"/>
    <w:basedOn w:val="Normal"/>
    <w:link w:val="BodyTextChar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4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EAD5-3CE7-449D-A42C-D5893620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7602</Words>
  <Characters>45616</Characters>
  <Application>Microsoft Office Word</Application>
  <DocSecurity>0</DocSecurity>
  <Lines>380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Usr</cp:lastModifiedBy>
  <cp:revision>2</cp:revision>
  <dcterms:created xsi:type="dcterms:W3CDTF">2021-08-31T19:10:00Z</dcterms:created>
  <dcterms:modified xsi:type="dcterms:W3CDTF">2021-08-31T19:10:00Z</dcterms:modified>
</cp:coreProperties>
</file>